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2603715" cy="75522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03715" cy="7552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Memorandum</w:t>
      </w:r>
      <w:r w:rsidDel="00000000" w:rsidR="00000000" w:rsidRPr="00000000">
        <w:rPr>
          <w:rtl w:val="0"/>
        </w:rPr>
      </w:r>
    </w:p>
    <w:p w:rsidR="00000000" w:rsidDel="00000000" w:rsidP="00000000" w:rsidRDefault="00000000" w:rsidRPr="00000000" w14:paraId="00000003">
      <w:pPr>
        <w:spacing w:after="0" w:lineRule="auto"/>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4">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Date</w:t>
      </w:r>
      <w:r w:rsidDel="00000000" w:rsidR="00000000" w:rsidRPr="00000000">
        <w:rPr>
          <w:rFonts w:ascii="Trebuchet MS" w:cs="Trebuchet MS" w:eastAsia="Trebuchet MS" w:hAnsi="Trebuchet MS"/>
          <w:rtl w:val="0"/>
        </w:rPr>
        <w:t xml:space="preserve">:         September 11, 2025</w:t>
      </w:r>
    </w:p>
    <w:p w:rsidR="00000000" w:rsidDel="00000000" w:rsidP="00000000" w:rsidRDefault="00000000" w:rsidRPr="00000000" w14:paraId="00000005">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6">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To</w:t>
      </w:r>
      <w:r w:rsidDel="00000000" w:rsidR="00000000" w:rsidRPr="00000000">
        <w:rPr>
          <w:rFonts w:ascii="Trebuchet MS" w:cs="Trebuchet MS" w:eastAsia="Trebuchet MS" w:hAnsi="Trebuchet MS"/>
          <w:rtl w:val="0"/>
        </w:rPr>
        <w:t xml:space="preserve">:             All Holders of Standard Special Provisions</w:t>
      </w:r>
    </w:p>
    <w:p w:rsidR="00000000" w:rsidDel="00000000" w:rsidP="00000000" w:rsidRDefault="00000000" w:rsidRPr="00000000" w14:paraId="00000007">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8">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From</w:t>
      </w:r>
      <w:r w:rsidDel="00000000" w:rsidR="00000000" w:rsidRPr="00000000">
        <w:rPr>
          <w:rFonts w:ascii="Trebuchet MS" w:cs="Trebuchet MS" w:eastAsia="Trebuchet MS" w:hAnsi="Trebuchet MS"/>
          <w:rtl w:val="0"/>
        </w:rPr>
        <w:t xml:space="preserve">:        Bill Cornelius, Standards and Specifications Unit Manager</w:t>
      </w:r>
    </w:p>
    <w:p w:rsidR="00000000" w:rsidDel="00000000" w:rsidP="00000000" w:rsidRDefault="00000000" w:rsidRPr="00000000" w14:paraId="00000009">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w:t>
      </w:r>
      <w:r w:rsidDel="00000000" w:rsidR="00000000" w:rsidRPr="00000000">
        <w:rPr>
          <w:rFonts w:ascii="Trebuchet MS" w:cs="Trebuchet MS" w:eastAsia="Trebuchet MS" w:hAnsi="Trebuchet MS"/>
          <w:rtl w:val="0"/>
        </w:rPr>
        <w:t xml:space="preserve">:    Issuance of seven new Standard Special Provisions.</w:t>
      </w:r>
    </w:p>
    <w:p w:rsidR="00000000" w:rsidDel="00000000" w:rsidP="00000000" w:rsidRDefault="00000000" w:rsidRPr="00000000" w14:paraId="0000000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Effective this date, September 11, 2025, the Standards and Specs unit has issued seven new SSPs.  Each is dated September 11, 2025.  They are briefly described in the table below.  Please see all of the attachments for further information.</w:t>
      </w:r>
    </w:p>
    <w:p w:rsidR="00000000" w:rsidDel="00000000" w:rsidP="00000000" w:rsidRDefault="00000000" w:rsidRPr="00000000" w14:paraId="0000000D">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standard special provision will become </w:t>
      </w:r>
      <w:r w:rsidDel="00000000" w:rsidR="00000000" w:rsidRPr="00000000">
        <w:rPr>
          <w:rFonts w:ascii="Trebuchet MS" w:cs="Trebuchet MS" w:eastAsia="Trebuchet MS" w:hAnsi="Trebuchet MS"/>
          <w:u w:val="single"/>
          <w:rtl w:val="0"/>
        </w:rPr>
        <w:t xml:space="preserve">mandatory</w:t>
      </w:r>
      <w:r w:rsidDel="00000000" w:rsidR="00000000" w:rsidRPr="00000000">
        <w:rPr>
          <w:rFonts w:ascii="Trebuchet MS" w:cs="Trebuchet MS" w:eastAsia="Trebuchet MS" w:hAnsi="Trebuchet MS"/>
          <w:rtl w:val="0"/>
        </w:rPr>
        <w:t xml:space="preserve"> in projects advertised on or after October 1, 2025.  You </w:t>
      </w:r>
      <w:r w:rsidDel="00000000" w:rsidR="00000000" w:rsidRPr="00000000">
        <w:rPr>
          <w:rFonts w:ascii="Trebuchet MS" w:cs="Trebuchet MS" w:eastAsia="Trebuchet MS" w:hAnsi="Trebuchet MS"/>
          <w:u w:val="single"/>
          <w:rtl w:val="0"/>
        </w:rPr>
        <w:t xml:space="preserve">may</w:t>
      </w:r>
      <w:r w:rsidDel="00000000" w:rsidR="00000000" w:rsidRPr="00000000">
        <w:rPr>
          <w:rFonts w:ascii="Trebuchet MS" w:cs="Trebuchet MS" w:eastAsia="Trebuchet MS" w:hAnsi="Trebuchet MS"/>
          <w:rtl w:val="0"/>
        </w:rPr>
        <w:t xml:space="preserve"> use these standard special provisions in projects advertised before this date.</w:t>
      </w:r>
    </w:p>
    <w:tbl>
      <w:tblPr>
        <w:tblStyle w:val="Table1"/>
        <w:tblW w:w="10186.0" w:type="dxa"/>
        <w:jc w:val="left"/>
        <w:tblInd w:w="-365.0" w:type="dxa"/>
        <w:tblBorders>
          <w:top w:color="bfbfbf" w:space="0" w:sz="4" w:val="single"/>
          <w:left w:color="bfbfbf" w:space="0" w:sz="4" w:val="single"/>
          <w:bottom w:color="000000" w:space="0" w:sz="18" w:val="single"/>
          <w:right w:color="bfbfbf" w:space="0" w:sz="4" w:val="single"/>
          <w:insideH w:color="000000" w:space="0" w:sz="18" w:val="single"/>
          <w:insideV w:color="bfbfbf" w:space="0" w:sz="4" w:val="single"/>
        </w:tblBorders>
        <w:tblLayout w:type="fixed"/>
        <w:tblLook w:val="04A0"/>
      </w:tblPr>
      <w:tblGrid>
        <w:gridCol w:w="662"/>
        <w:gridCol w:w="1779"/>
        <w:gridCol w:w="5468"/>
        <w:gridCol w:w="723"/>
        <w:gridCol w:w="1554"/>
        <w:tblGridChange w:id="0">
          <w:tblGrid>
            <w:gridCol w:w="662"/>
            <w:gridCol w:w="1779"/>
            <w:gridCol w:w="5468"/>
            <w:gridCol w:w="723"/>
            <w:gridCol w:w="1554"/>
          </w:tblGrid>
        </w:tblGridChange>
      </w:tblGrid>
      <w:tr>
        <w:trPr>
          <w:cantSplit w:val="0"/>
          <w:tblHeader w:val="0"/>
        </w:trPr>
        <w:tc>
          <w:tcPr/>
          <w:p w:rsidR="00000000" w:rsidDel="00000000" w:rsidP="00000000" w:rsidRDefault="00000000" w:rsidRPr="00000000" w14:paraId="0000000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tc>
        <w:tc>
          <w:tcPr/>
          <w:p w:rsidR="00000000" w:rsidDel="00000000" w:rsidP="00000000" w:rsidRDefault="00000000" w:rsidRPr="00000000" w14:paraId="0000001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New Standard Special Provisions</w:t>
            </w:r>
          </w:p>
        </w:tc>
        <w:tc>
          <w:tcPr/>
          <w:p w:rsidR="00000000" w:rsidDel="00000000" w:rsidP="00000000" w:rsidRDefault="00000000" w:rsidRPr="00000000" w14:paraId="0000001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Changes</w:t>
            </w:r>
          </w:p>
        </w:tc>
        <w:tc>
          <w:tcPr/>
          <w:p w:rsidR="00000000" w:rsidDel="00000000" w:rsidP="00000000" w:rsidRDefault="00000000" w:rsidRPr="00000000" w14:paraId="00000012">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 of pgs</w:t>
            </w:r>
          </w:p>
        </w:tc>
        <w:tc>
          <w:tcPr/>
          <w:p w:rsidR="00000000" w:rsidDel="00000000" w:rsidP="00000000" w:rsidRDefault="00000000" w:rsidRPr="00000000" w14:paraId="0000001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To be used on</w:t>
            </w:r>
          </w:p>
        </w:tc>
      </w:tr>
      <w:tr>
        <w:trPr>
          <w:cantSplit w:val="0"/>
          <w:tblHeader w:val="0"/>
        </w:trPr>
        <w:tc>
          <w:tcPr/>
          <w:p w:rsidR="00000000" w:rsidDel="00000000" w:rsidP="00000000" w:rsidRDefault="00000000" w:rsidRPr="00000000" w14:paraId="00000014">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1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Revision of Section 106 </w:t>
            </w:r>
            <w:r w:rsidDel="00000000" w:rsidR="00000000" w:rsidRPr="00000000">
              <w:rPr>
                <w:rFonts w:ascii="Trebuchet MS" w:cs="Trebuchet MS" w:eastAsia="Trebuchet MS" w:hAnsi="Trebuchet MS"/>
                <w:rtl w:val="0"/>
              </w:rPr>
              <w:t xml:space="preserve">Buy America (BA), and Build America and Buy America (BABA) </w:t>
            </w:r>
            <w:r w:rsidDel="00000000" w:rsidR="00000000" w:rsidRPr="00000000">
              <w:rPr>
                <w:rFonts w:ascii="Trebuchet MS" w:cs="Trebuchet MS" w:eastAsia="Trebuchet MS" w:hAnsi="Trebuchet MS"/>
                <w:rtl w:val="0"/>
              </w:rPr>
              <w:t xml:space="preserve">requirements – Projects with  $500,000 or more in Federal-Aid Highway Funding</w:t>
            </w:r>
          </w:p>
        </w:tc>
        <w:tc>
          <w:tcPr/>
          <w:p w:rsidR="00000000" w:rsidDel="00000000" w:rsidP="00000000" w:rsidRDefault="00000000" w:rsidRPr="00000000" w14:paraId="00000016">
            <w:pPr>
              <w:rPr>
                <w:rFonts w:ascii="Trebuchet MS" w:cs="Trebuchet MS" w:eastAsia="Trebuchet MS" w:hAnsi="Trebuchet MS"/>
              </w:rPr>
            </w:pPr>
            <w:bookmarkStart w:colFirst="0" w:colLast="0" w:name="_7e0emp31erye" w:id="0"/>
            <w:bookmarkEnd w:id="0"/>
            <w:r w:rsidDel="00000000" w:rsidR="00000000" w:rsidRPr="00000000">
              <w:rPr>
                <w:rFonts w:ascii="Trebuchet MS" w:cs="Trebuchet MS" w:eastAsia="Trebuchet MS" w:hAnsi="Trebuchet MS"/>
                <w:rtl w:val="0"/>
              </w:rPr>
              <w:t xml:space="preserve">An update to the manufactured products section of our Buy America specifications is necessary to comply with the recent elimination of the 1983 Manufactured Products Waiver. This revision will require an additional certification statement be provided by the manufacturer of a manufactured product, that the final assembly of the manufactured product occurred in the United States. This is in addition to a certification statement that any iron/steel used in the manufactured product is Buy America compliant. Additionally, language was added that requires the certification be provided before the manufactured product is installed or paid for.</w:t>
            </w:r>
          </w:p>
        </w:tc>
        <w:tc>
          <w:tcPr/>
          <w:p w:rsidR="00000000" w:rsidDel="00000000" w:rsidP="00000000" w:rsidRDefault="00000000" w:rsidRPr="00000000" w14:paraId="00000017">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1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projects with $500K or more in federal-aid highway funding, with a construction phase federal funding obligation date on or after October 1, 2025.</w:t>
            </w:r>
          </w:p>
        </w:tc>
      </w:tr>
      <w:tr>
        <w:trPr>
          <w:cantSplit w:val="0"/>
          <w:tblHeader w:val="0"/>
        </w:trPr>
        <w:tc>
          <w:tcPr>
            <w:tcBorders>
              <w:bottom w:color="000000" w:space="0" w:sz="18" w:val="single"/>
            </w:tcBorders>
          </w:tcPr>
          <w:p w:rsidR="00000000" w:rsidDel="00000000" w:rsidP="00000000" w:rsidRDefault="00000000" w:rsidRPr="00000000" w14:paraId="00000019">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c>
          <w:tcPr>
            <w:tcBorders>
              <w:bottom w:color="000000" w:space="0" w:sz="18" w:val="single"/>
            </w:tcBorders>
          </w:tcPr>
          <w:p w:rsidR="00000000" w:rsidDel="00000000" w:rsidP="00000000" w:rsidRDefault="00000000" w:rsidRPr="00000000" w14:paraId="0000001A">
            <w:pPr>
              <w:rPr>
                <w:rFonts w:ascii="Trebuchet MS" w:cs="Trebuchet MS" w:eastAsia="Trebuchet MS" w:hAnsi="Trebuchet MS"/>
                <w:sz w:val="22"/>
                <w:szCs w:val="22"/>
              </w:rPr>
            </w:pPr>
            <w:bookmarkStart w:colFirst="0" w:colLast="0" w:name="_78o1ch34tcg0" w:id="1"/>
            <w:bookmarkEnd w:id="1"/>
            <w:r w:rsidDel="00000000" w:rsidR="00000000" w:rsidRPr="00000000">
              <w:rPr>
                <w:rFonts w:ascii="Trebuchet MS" w:cs="Trebuchet MS" w:eastAsia="Trebuchet MS" w:hAnsi="Trebuchet MS"/>
                <w:sz w:val="22"/>
                <w:szCs w:val="22"/>
                <w:rtl w:val="0"/>
              </w:rPr>
              <w:t xml:space="preserve">Revision of Section 106 Buy America and Build America Buy America requirements – No Federal-Aid or Projects with less than $500,000 in Federal-Aid Highway Funding</w:t>
            </w:r>
          </w:p>
        </w:tc>
        <w:tc>
          <w:tcPr>
            <w:tcBorders>
              <w:bottom w:color="000000" w:space="0" w:sz="18" w:val="single"/>
            </w:tcBorders>
          </w:tcPr>
          <w:p w:rsidR="00000000" w:rsidDel="00000000" w:rsidP="00000000" w:rsidRDefault="00000000" w:rsidRPr="00000000" w14:paraId="0000001B">
            <w:pPr>
              <w:rPr>
                <w:rFonts w:ascii="Trebuchet MS" w:cs="Trebuchet MS" w:eastAsia="Trebuchet MS" w:hAnsi="Trebuchet MS"/>
              </w:rPr>
            </w:pPr>
            <w:bookmarkStart w:colFirst="0" w:colLast="0" w:name="_hotwcqbf6t6e" w:id="2"/>
            <w:bookmarkEnd w:id="2"/>
            <w:r w:rsidDel="00000000" w:rsidR="00000000" w:rsidRPr="00000000">
              <w:rPr>
                <w:rFonts w:ascii="Trebuchet MS" w:cs="Trebuchet MS" w:eastAsia="Trebuchet MS" w:hAnsi="Trebuchet MS"/>
                <w:rtl w:val="0"/>
              </w:rPr>
              <w:t xml:space="preserve">A modification to the existing standard special provision related to Buy America</w:t>
            </w:r>
          </w:p>
          <w:p w:rsidR="00000000" w:rsidDel="00000000" w:rsidP="00000000" w:rsidRDefault="00000000" w:rsidRPr="00000000" w14:paraId="0000001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requirements for those projects with less than $500K in federal-aid highway. With the incorporation of the prior Buy America into the 2025 Standard Specifications book, which included the definitions section, definitions in the Standard Special are no longer needed as they are duplicated. The attached standard special provision deletes the definitions portion. </w:t>
            </w:r>
          </w:p>
        </w:tc>
        <w:tc>
          <w:tcPr>
            <w:tcBorders>
              <w:bottom w:color="000000" w:space="0" w:sz="18" w:val="single"/>
            </w:tcBorders>
          </w:tcPr>
          <w:p w:rsidR="00000000" w:rsidDel="00000000" w:rsidP="00000000" w:rsidRDefault="00000000" w:rsidRPr="00000000" w14:paraId="0000001D">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tcBorders>
              <w:bottom w:color="000000" w:space="0" w:sz="18" w:val="single"/>
            </w:tcBorders>
          </w:tcPr>
          <w:p w:rsidR="00000000" w:rsidDel="00000000" w:rsidP="00000000" w:rsidRDefault="00000000" w:rsidRPr="00000000" w14:paraId="0000001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projects</w:t>
            </w:r>
          </w:p>
          <w:p w:rsidR="00000000" w:rsidDel="00000000" w:rsidP="00000000" w:rsidRDefault="00000000" w:rsidRPr="00000000" w14:paraId="0000001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with less than $500K in federal-aid highway funding or no federal-aid highway funding.</w:t>
            </w:r>
          </w:p>
          <w:p w:rsidR="00000000" w:rsidDel="00000000" w:rsidP="00000000" w:rsidRDefault="00000000" w:rsidRPr="00000000" w14:paraId="00000020">
            <w:pPr>
              <w:rPr>
                <w:rFonts w:ascii="Trebuchet MS" w:cs="Trebuchet MS" w:eastAsia="Trebuchet MS" w:hAnsi="Trebuchet MS"/>
              </w:rPr>
            </w:pPr>
            <w:r w:rsidDel="00000000" w:rsidR="00000000" w:rsidRPr="00000000">
              <w:rPr>
                <w:rtl w:val="0"/>
              </w:rPr>
            </w:r>
          </w:p>
        </w:tc>
      </w:tr>
      <w:tr>
        <w:trPr>
          <w:cantSplit w:val="0"/>
          <w:tblHeader w:val="0"/>
        </w:trPr>
        <w:tc>
          <w:tcPr>
            <w:tcBorders>
              <w:top w:color="000000" w:space="0" w:sz="18" w:val="single"/>
              <w:bottom w:color="000000" w:space="0" w:sz="12" w:val="single"/>
            </w:tcBorders>
          </w:tcPr>
          <w:p w:rsidR="00000000" w:rsidDel="00000000" w:rsidP="00000000" w:rsidRDefault="00000000" w:rsidRPr="00000000" w14:paraId="00000021">
            <w:pPr>
              <w:jc w:val="center"/>
              <w:rPr>
                <w:rFonts w:ascii="Trebuchet MS" w:cs="Trebuchet MS" w:eastAsia="Trebuchet MS" w:hAnsi="Trebuchet MS"/>
              </w:rPr>
            </w:pPr>
            <w:bookmarkStart w:colFirst="0" w:colLast="0" w:name="_hauv3nvteegv" w:id="3"/>
            <w:bookmarkEnd w:id="3"/>
            <w:r w:rsidDel="00000000" w:rsidR="00000000" w:rsidRPr="00000000">
              <w:rPr>
                <w:rFonts w:ascii="Trebuchet MS" w:cs="Trebuchet MS" w:eastAsia="Trebuchet MS" w:hAnsi="Trebuchet MS"/>
                <w:rtl w:val="0"/>
              </w:rPr>
              <w:t xml:space="preserve">3</w:t>
            </w:r>
          </w:p>
        </w:tc>
        <w:tc>
          <w:tcPr>
            <w:tcBorders>
              <w:top w:color="000000" w:space="0" w:sz="18" w:val="single"/>
              <w:bottom w:color="000000" w:space="0" w:sz="12" w:val="single"/>
            </w:tcBorders>
          </w:tcPr>
          <w:p w:rsidR="00000000" w:rsidDel="00000000" w:rsidP="00000000" w:rsidRDefault="00000000" w:rsidRPr="00000000" w14:paraId="00000022">
            <w:pPr>
              <w:rPr>
                <w:rFonts w:ascii="Trebuchet MS" w:cs="Trebuchet MS" w:eastAsia="Trebuchet MS" w:hAnsi="Trebuchet MS"/>
              </w:rPr>
            </w:pPr>
            <w:bookmarkStart w:colFirst="0" w:colLast="0" w:name="_6kwzx8f77fw7" w:id="4"/>
            <w:bookmarkEnd w:id="4"/>
            <w:r w:rsidDel="00000000" w:rsidR="00000000" w:rsidRPr="00000000">
              <w:rPr>
                <w:rFonts w:ascii="Trebuchet MS" w:cs="Trebuchet MS" w:eastAsia="Trebuchet MS" w:hAnsi="Trebuchet MS"/>
                <w:rtl w:val="0"/>
              </w:rPr>
              <w:t xml:space="preserve">Revision of Section 206 Shoring</w:t>
            </w:r>
          </w:p>
        </w:tc>
        <w:tc>
          <w:tcPr>
            <w:tcBorders>
              <w:top w:color="000000" w:space="0" w:sz="18" w:val="single"/>
              <w:bottom w:color="000000" w:space="0" w:sz="12" w:val="single"/>
            </w:tcBorders>
          </w:tcPr>
          <w:p w:rsidR="00000000" w:rsidDel="00000000" w:rsidP="00000000" w:rsidRDefault="00000000" w:rsidRPr="00000000" w14:paraId="0000002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changes are the result of safety and construction concerns from Bridge and Regional Resident Engineers. Here is a summary of the changes proposed to 206 regarding shoring. </w:t>
            </w:r>
          </w:p>
          <w:p w:rsidR="00000000" w:rsidDel="00000000" w:rsidP="00000000" w:rsidRDefault="00000000" w:rsidRPr="00000000" w14:paraId="00000024">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Old:</w:t>
            </w:r>
            <w:r w:rsidDel="00000000" w:rsidR="00000000" w:rsidRPr="00000000">
              <w:rPr>
                <w:rFonts w:ascii="Trebuchet MS" w:cs="Trebuchet MS" w:eastAsia="Trebuchet MS" w:hAnsi="Trebuchet MS"/>
                <w:sz w:val="22"/>
                <w:szCs w:val="22"/>
                <w:rtl w:val="0"/>
              </w:rPr>
              <w:t xml:space="preserve"> Soil nail proof testing was limited to one for any wall, no matter height, length, or soil condition.</w:t>
            </w:r>
          </w:p>
          <w:p w:rsidR="00000000" w:rsidDel="00000000" w:rsidP="00000000" w:rsidRDefault="00000000" w:rsidRPr="00000000" w14:paraId="00000025">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New: </w:t>
            </w:r>
            <w:r w:rsidDel="00000000" w:rsidR="00000000" w:rsidRPr="00000000">
              <w:rPr>
                <w:rFonts w:ascii="Trebuchet MS" w:cs="Trebuchet MS" w:eastAsia="Trebuchet MS" w:hAnsi="Trebuchet MS"/>
                <w:sz w:val="22"/>
                <w:szCs w:val="22"/>
                <w:rtl w:val="0"/>
              </w:rPr>
              <w:t xml:space="preserve">The Engineer has many roles, and the shoring test frequency should be per the design requirements, not at the Engineer’s discretion. Proof and verification testing will be in line with documented construction manuals and specifications.</w:t>
            </w:r>
          </w:p>
          <w:p w:rsidR="00000000" w:rsidDel="00000000" w:rsidP="00000000" w:rsidRDefault="00000000" w:rsidRPr="00000000" w14:paraId="00000026">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Old: </w:t>
            </w:r>
            <w:r w:rsidDel="00000000" w:rsidR="00000000" w:rsidRPr="00000000">
              <w:rPr>
                <w:rFonts w:ascii="Trebuchet MS" w:cs="Trebuchet MS" w:eastAsia="Trebuchet MS" w:hAnsi="Trebuchet MS"/>
                <w:sz w:val="22"/>
                <w:szCs w:val="22"/>
                <w:rtl w:val="0"/>
              </w:rPr>
              <w:t xml:space="preserve">Material testing (grout and soil) was not required or needed to be reported to CDOT.</w:t>
            </w:r>
          </w:p>
          <w:p w:rsidR="00000000" w:rsidDel="00000000" w:rsidP="00000000" w:rsidRDefault="00000000" w:rsidRPr="00000000" w14:paraId="00000027">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New:</w:t>
            </w:r>
            <w:r w:rsidDel="00000000" w:rsidR="00000000" w:rsidRPr="00000000">
              <w:rPr>
                <w:rFonts w:ascii="Trebuchet MS" w:cs="Trebuchet MS" w:eastAsia="Trebuchet MS" w:hAnsi="Trebuchet MS"/>
                <w:sz w:val="22"/>
                <w:szCs w:val="22"/>
                <w:rtl w:val="0"/>
              </w:rPr>
              <w:t xml:space="preserve"> Material testing will be reported to CDOT to document proper construction of shoring.</w:t>
            </w:r>
          </w:p>
          <w:p w:rsidR="00000000" w:rsidDel="00000000" w:rsidP="00000000" w:rsidRDefault="00000000" w:rsidRPr="00000000" w14:paraId="00000028">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Old: </w:t>
            </w:r>
            <w:r w:rsidDel="00000000" w:rsidR="00000000" w:rsidRPr="00000000">
              <w:rPr>
                <w:rFonts w:ascii="Trebuchet MS" w:cs="Trebuchet MS" w:eastAsia="Trebuchet MS" w:hAnsi="Trebuchet MS"/>
                <w:sz w:val="22"/>
                <w:szCs w:val="22"/>
                <w:rtl w:val="0"/>
              </w:rPr>
              <w:t xml:space="preserve">Listed three reference manuals for design.</w:t>
            </w:r>
          </w:p>
          <w:p w:rsidR="00000000" w:rsidDel="00000000" w:rsidP="00000000" w:rsidRDefault="00000000" w:rsidRPr="00000000" w14:paraId="00000029">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New: </w:t>
            </w:r>
            <w:r w:rsidDel="00000000" w:rsidR="00000000" w:rsidRPr="00000000">
              <w:rPr>
                <w:rFonts w:ascii="Trebuchet MS" w:cs="Trebuchet MS" w:eastAsia="Trebuchet MS" w:hAnsi="Trebuchet MS"/>
                <w:sz w:val="22"/>
                <w:szCs w:val="22"/>
                <w:rtl w:val="0"/>
              </w:rPr>
              <w:t xml:space="preserve">Added AASHTO Guide Design Specification for Bridge and Temporary Works</w:t>
            </w:r>
          </w:p>
          <w:p w:rsidR="00000000" w:rsidDel="00000000" w:rsidP="00000000" w:rsidRDefault="00000000" w:rsidRPr="00000000" w14:paraId="0000002A">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Old:</w:t>
            </w:r>
            <w:r w:rsidDel="00000000" w:rsidR="00000000" w:rsidRPr="00000000">
              <w:rPr>
                <w:rFonts w:ascii="Trebuchet MS" w:cs="Trebuchet MS" w:eastAsia="Trebuchet MS" w:hAnsi="Trebuchet MS"/>
                <w:sz w:val="22"/>
                <w:szCs w:val="22"/>
                <w:rtl w:val="0"/>
              </w:rPr>
              <w:t xml:space="preserve"> Shoring not included in the four listed design references, the Contractor did not have to specify how the wall was designed.</w:t>
            </w:r>
          </w:p>
          <w:p w:rsidR="00000000" w:rsidDel="00000000" w:rsidP="00000000" w:rsidRDefault="00000000" w:rsidRPr="00000000" w14:paraId="0000002B">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New:</w:t>
            </w:r>
            <w:r w:rsidDel="00000000" w:rsidR="00000000" w:rsidRPr="00000000">
              <w:rPr>
                <w:rFonts w:ascii="Trebuchet MS" w:cs="Trebuchet MS" w:eastAsia="Trebuchet MS" w:hAnsi="Trebuchet MS"/>
                <w:sz w:val="22"/>
                <w:szCs w:val="22"/>
                <w:rtl w:val="0"/>
              </w:rPr>
              <w:t xml:space="preserve"> The Contractor must provide design review to the Engineer for acceptance if not using one of the 4 listed references.</w:t>
            </w:r>
          </w:p>
          <w:p w:rsidR="00000000" w:rsidDel="00000000" w:rsidP="00000000" w:rsidRDefault="00000000" w:rsidRPr="00000000" w14:paraId="0000002C">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Old: </w:t>
            </w:r>
            <w:r w:rsidDel="00000000" w:rsidR="00000000" w:rsidRPr="00000000">
              <w:rPr>
                <w:rFonts w:ascii="Trebuchet MS" w:cs="Trebuchet MS" w:eastAsia="Trebuchet MS" w:hAnsi="Trebuchet MS"/>
                <w:sz w:val="22"/>
                <w:szCs w:val="22"/>
                <w:rtl w:val="0"/>
              </w:rPr>
              <w:t xml:space="preserve">Department will pay for any proof or verification testing per the Engineer. </w:t>
            </w:r>
          </w:p>
          <w:p w:rsidR="00000000" w:rsidDel="00000000" w:rsidP="00000000" w:rsidRDefault="00000000" w:rsidRPr="00000000" w14:paraId="0000002D">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New:</w:t>
            </w:r>
            <w:r w:rsidDel="00000000" w:rsidR="00000000" w:rsidRPr="00000000">
              <w:rPr>
                <w:rFonts w:ascii="Trebuchet MS" w:cs="Trebuchet MS" w:eastAsia="Trebuchet MS" w:hAnsi="Trebuchet MS"/>
                <w:sz w:val="22"/>
                <w:szCs w:val="22"/>
                <w:rtl w:val="0"/>
              </w:rPr>
              <w:t xml:space="preserve"> The Engineer has many roles, and the shoring performance test frequency should be per the design requirements, not at the Engineer’s discretion. Proof and verification testing will be in line with documented construction manuals and specifications. Any additional performance testing beyond the design requirements at the request of the Engineer shall be paid by CDOT, if it passes; the Contractor if it fails.</w:t>
            </w:r>
          </w:p>
        </w:tc>
        <w:tc>
          <w:tcPr>
            <w:tcBorders>
              <w:top w:color="000000" w:space="0" w:sz="18" w:val="single"/>
              <w:bottom w:color="000000" w:space="0" w:sz="12" w:val="single"/>
            </w:tcBorders>
          </w:tcPr>
          <w:p w:rsidR="00000000" w:rsidDel="00000000" w:rsidP="00000000" w:rsidRDefault="00000000" w:rsidRPr="00000000" w14:paraId="0000002E">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p w:rsidR="00000000" w:rsidDel="00000000" w:rsidP="00000000" w:rsidRDefault="00000000" w:rsidRPr="00000000" w14:paraId="0000002F">
            <w:pPr>
              <w:jc w:val="center"/>
              <w:rPr>
                <w:rFonts w:ascii="Trebuchet MS" w:cs="Trebuchet MS" w:eastAsia="Trebuchet MS" w:hAnsi="Trebuchet MS"/>
              </w:rPr>
            </w:pPr>
            <w:r w:rsidDel="00000000" w:rsidR="00000000" w:rsidRPr="00000000">
              <w:rPr>
                <w:rtl w:val="0"/>
              </w:rPr>
            </w:r>
          </w:p>
        </w:tc>
        <w:tc>
          <w:tcPr>
            <w:tcBorders>
              <w:top w:color="000000" w:space="0" w:sz="18" w:val="single"/>
              <w:bottom w:color="000000" w:space="0" w:sz="12" w:val="single"/>
            </w:tcBorders>
          </w:tcPr>
          <w:p w:rsidR="00000000" w:rsidDel="00000000" w:rsidP="00000000" w:rsidRDefault="00000000" w:rsidRPr="00000000" w14:paraId="0000003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projects with Shoring</w:t>
            </w:r>
          </w:p>
        </w:tc>
      </w:tr>
      <w:tr>
        <w:trPr>
          <w:cantSplit w:val="0"/>
          <w:tblHeader w:val="0"/>
        </w:trPr>
        <w:tc>
          <w:tcPr>
            <w:tcBorders>
              <w:top w:color="000000" w:space="0" w:sz="12" w:val="single"/>
              <w:bottom w:color="000000" w:space="0" w:sz="18" w:val="single"/>
            </w:tcBorders>
          </w:tcPr>
          <w:p w:rsidR="00000000" w:rsidDel="00000000" w:rsidP="00000000" w:rsidRDefault="00000000" w:rsidRPr="00000000" w14:paraId="00000031">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4, 5</w:t>
            </w:r>
          </w:p>
        </w:tc>
        <w:tc>
          <w:tcPr>
            <w:tcBorders>
              <w:top w:color="000000" w:space="0" w:sz="12" w:val="single"/>
              <w:bottom w:color="000000" w:space="0" w:sz="18" w:val="single"/>
            </w:tcBorders>
          </w:tcPr>
          <w:p w:rsidR="00000000" w:rsidDel="00000000" w:rsidP="00000000" w:rsidRDefault="00000000" w:rsidRPr="00000000" w14:paraId="00000032">
            <w:pPr>
              <w:rPr>
                <w:rFonts w:ascii="Trebuchet MS" w:cs="Trebuchet MS" w:eastAsia="Trebuchet MS" w:hAnsi="Trebuchet MS"/>
              </w:rPr>
            </w:pPr>
            <w:bookmarkStart w:colFirst="0" w:colLast="0" w:name="_nxa263hj28vj" w:id="5"/>
            <w:bookmarkEnd w:id="5"/>
            <w:r w:rsidDel="00000000" w:rsidR="00000000" w:rsidRPr="00000000">
              <w:rPr>
                <w:rFonts w:ascii="Trebuchet MS" w:cs="Trebuchet MS" w:eastAsia="Trebuchet MS" w:hAnsi="Trebuchet MS"/>
                <w:rtl w:val="0"/>
              </w:rPr>
              <w:t xml:space="preserve">Revision of Sections 401 and 412, SafetyEdge</w:t>
            </w:r>
            <w:r w:rsidDel="00000000" w:rsidR="00000000" w:rsidRPr="00000000">
              <w:rPr>
                <w:rFonts w:ascii="Trebuchet MS" w:cs="Trebuchet MS" w:eastAsia="Trebuchet MS" w:hAnsi="Trebuchet MS"/>
                <w:sz w:val="16"/>
                <w:szCs w:val="16"/>
                <w:rtl w:val="0"/>
              </w:rPr>
              <w:t xml:space="preserve">SM</w:t>
            </w:r>
            <w:r w:rsidDel="00000000" w:rsidR="00000000" w:rsidRPr="00000000">
              <w:rPr>
                <w:rtl w:val="0"/>
              </w:rPr>
            </w:r>
          </w:p>
        </w:tc>
        <w:tc>
          <w:tcPr>
            <w:tcBorders>
              <w:top w:color="000000" w:space="0" w:sz="12" w:val="single"/>
              <w:bottom w:color="000000" w:space="0" w:sz="18" w:val="single"/>
            </w:tcBorders>
          </w:tcPr>
          <w:p w:rsidR="00000000" w:rsidDel="00000000" w:rsidP="00000000" w:rsidRDefault="00000000" w:rsidRPr="00000000" w14:paraId="00000033">
            <w:pPr>
              <w:rPr>
                <w:rFonts w:ascii="Trebuchet MS" w:cs="Trebuchet MS" w:eastAsia="Trebuchet MS" w:hAnsi="Trebuchet MS"/>
              </w:rPr>
            </w:pPr>
            <w:bookmarkStart w:colFirst="0" w:colLast="0" w:name="_alhydmkpjj6r" w:id="6"/>
            <w:bookmarkEnd w:id="6"/>
            <w:r w:rsidDel="00000000" w:rsidR="00000000" w:rsidRPr="00000000">
              <w:rPr>
                <w:rFonts w:ascii="Trebuchet MS" w:cs="Trebuchet MS" w:eastAsia="Trebuchet MS" w:hAnsi="Trebuchet MS"/>
                <w:rtl w:val="0"/>
              </w:rPr>
              <w:t xml:space="preserve">We are converting the current D-614-1 Safety Edge for Pavement into an M-Standard with some minor updates.  The specification will be updated to be consistent with and reference the new M-Standard.</w:t>
            </w:r>
          </w:p>
          <w:p w:rsidR="00000000" w:rsidDel="00000000" w:rsidP="00000000" w:rsidRDefault="00000000" w:rsidRPr="00000000" w14:paraId="00000034">
            <w:pPr>
              <w:rPr>
                <w:rFonts w:ascii="Trebuchet MS" w:cs="Trebuchet MS" w:eastAsia="Trebuchet MS" w:hAnsi="Trebuchet MS"/>
              </w:rPr>
            </w:pPr>
            <w:r w:rsidDel="00000000" w:rsidR="00000000" w:rsidRPr="00000000">
              <w:rPr>
                <w:rtl w:val="0"/>
              </w:rPr>
            </w:r>
          </w:p>
        </w:tc>
        <w:tc>
          <w:tcPr>
            <w:tcBorders>
              <w:top w:color="000000" w:space="0" w:sz="12" w:val="single"/>
              <w:bottom w:color="000000" w:space="0" w:sz="18" w:val="single"/>
            </w:tcBorders>
          </w:tcPr>
          <w:p w:rsidR="00000000" w:rsidDel="00000000" w:rsidP="00000000" w:rsidRDefault="00000000" w:rsidRPr="00000000" w14:paraId="00000035">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1 each</w:t>
            </w:r>
          </w:p>
        </w:tc>
        <w:tc>
          <w:tcPr>
            <w:tcBorders>
              <w:top w:color="000000" w:space="0" w:sz="12" w:val="single"/>
              <w:bottom w:color="000000" w:space="0" w:sz="18" w:val="single"/>
            </w:tcBorders>
          </w:tcPr>
          <w:p w:rsidR="00000000" w:rsidDel="00000000" w:rsidP="00000000" w:rsidRDefault="00000000" w:rsidRPr="00000000" w14:paraId="0000003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projects with concrete or asphalt paving.</w:t>
            </w:r>
          </w:p>
        </w:tc>
      </w:tr>
      <w:tr>
        <w:trPr>
          <w:cantSplit w:val="0"/>
          <w:tblHeader w:val="0"/>
        </w:trPr>
        <w:tc>
          <w:tcPr>
            <w:tcBorders>
              <w:top w:color="000000" w:space="0" w:sz="18" w:val="single"/>
            </w:tcBorders>
          </w:tcPr>
          <w:p w:rsidR="00000000" w:rsidDel="00000000" w:rsidP="00000000" w:rsidRDefault="00000000" w:rsidRPr="00000000" w14:paraId="00000037">
            <w:pPr>
              <w:jc w:val="center"/>
              <w:rPr>
                <w:rFonts w:ascii="Trebuchet MS" w:cs="Trebuchet MS" w:eastAsia="Trebuchet MS" w:hAnsi="Trebuchet MS"/>
              </w:rPr>
            </w:pPr>
            <w:bookmarkStart w:colFirst="0" w:colLast="0" w:name="_c1k2znto8u21" w:id="7"/>
            <w:bookmarkEnd w:id="7"/>
            <w:r w:rsidDel="00000000" w:rsidR="00000000" w:rsidRPr="00000000">
              <w:rPr>
                <w:rFonts w:ascii="Trebuchet MS" w:cs="Trebuchet MS" w:eastAsia="Trebuchet MS" w:hAnsi="Trebuchet MS"/>
                <w:rtl w:val="0"/>
              </w:rPr>
              <w:t xml:space="preserve">6</w:t>
            </w:r>
          </w:p>
        </w:tc>
        <w:tc>
          <w:tcPr>
            <w:tcBorders>
              <w:top w:color="000000" w:space="0" w:sz="18" w:val="single"/>
            </w:tcBorders>
          </w:tcPr>
          <w:p w:rsidR="00000000" w:rsidDel="00000000" w:rsidP="00000000" w:rsidRDefault="00000000" w:rsidRPr="00000000" w14:paraId="00000038">
            <w:pPr>
              <w:rPr>
                <w:rFonts w:ascii="Trebuchet MS" w:cs="Trebuchet MS" w:eastAsia="Trebuchet MS" w:hAnsi="Trebuchet MS"/>
              </w:rPr>
            </w:pPr>
            <w:bookmarkStart w:colFirst="0" w:colLast="0" w:name="_om4fk1xd5zo" w:id="8"/>
            <w:bookmarkEnd w:id="8"/>
            <w:r w:rsidDel="00000000" w:rsidR="00000000" w:rsidRPr="00000000">
              <w:rPr>
                <w:rFonts w:ascii="Trebuchet MS" w:cs="Trebuchet MS" w:eastAsia="Trebuchet MS" w:hAnsi="Trebuchet MS"/>
                <w:rtl w:val="0"/>
              </w:rPr>
              <w:t xml:space="preserve">Revision of Section 509 Steel Structures</w:t>
            </w:r>
          </w:p>
        </w:tc>
        <w:tc>
          <w:tcPr>
            <w:tcBorders>
              <w:top w:color="000000" w:space="0" w:sz="18" w:val="single"/>
            </w:tcBorders>
          </w:tcPr>
          <w:p w:rsidR="00000000" w:rsidDel="00000000" w:rsidP="00000000" w:rsidRDefault="00000000" w:rsidRPr="00000000" w14:paraId="00000039">
            <w:pPr>
              <w:rPr>
                <w:rFonts w:ascii="Trebuchet MS" w:cs="Trebuchet MS" w:eastAsia="Trebuchet MS" w:hAnsi="Trebuchet MS"/>
              </w:rPr>
            </w:pPr>
            <w:bookmarkStart w:colFirst="0" w:colLast="0" w:name="_5ramfbb5cgnk" w:id="9"/>
            <w:bookmarkEnd w:id="9"/>
            <w:r w:rsidDel="00000000" w:rsidR="00000000" w:rsidRPr="00000000">
              <w:rPr>
                <w:rFonts w:ascii="Trebuchet MS" w:cs="Trebuchet MS" w:eastAsia="Trebuchet MS" w:hAnsi="Trebuchet MS"/>
                <w:rtl w:val="0"/>
              </w:rPr>
              <w:t xml:space="preserve">Clarification to use AWS D1.1 for Hollow Structural Sections used on pedestrian bridges.</w:t>
            </w:r>
          </w:p>
        </w:tc>
        <w:tc>
          <w:tcPr>
            <w:tcBorders>
              <w:top w:color="000000" w:space="0" w:sz="18" w:val="single"/>
            </w:tcBorders>
          </w:tcPr>
          <w:p w:rsidR="00000000" w:rsidDel="00000000" w:rsidP="00000000" w:rsidRDefault="00000000" w:rsidRPr="00000000" w14:paraId="0000003A">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tcBorders>
              <w:top w:color="000000" w:space="0" w:sz="18" w:val="single"/>
            </w:tcBorders>
          </w:tcPr>
          <w:p w:rsidR="00000000" w:rsidDel="00000000" w:rsidP="00000000" w:rsidRDefault="00000000" w:rsidRPr="00000000" w14:paraId="0000003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All projects with Hollow Structural Sections.</w:t>
            </w:r>
          </w:p>
        </w:tc>
      </w:tr>
      <w:tr>
        <w:trPr>
          <w:cantSplit w:val="0"/>
          <w:tblHeader w:val="0"/>
        </w:trPr>
        <w:tc>
          <w:tcPr/>
          <w:p w:rsidR="00000000" w:rsidDel="00000000" w:rsidP="00000000" w:rsidRDefault="00000000" w:rsidRPr="00000000" w14:paraId="0000003C">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7</w:t>
            </w:r>
          </w:p>
        </w:tc>
        <w:tc>
          <w:tcPr/>
          <w:p w:rsidR="00000000" w:rsidDel="00000000" w:rsidP="00000000" w:rsidRDefault="00000000" w:rsidRPr="00000000" w14:paraId="0000003D">
            <w:pPr>
              <w:rPr>
                <w:rFonts w:ascii="Trebuchet MS" w:cs="Trebuchet MS" w:eastAsia="Trebuchet MS" w:hAnsi="Trebuchet MS"/>
              </w:rPr>
            </w:pPr>
            <w:bookmarkStart w:colFirst="0" w:colLast="0" w:name="_y2fbkg187dw5" w:id="10"/>
            <w:bookmarkEnd w:id="10"/>
            <w:r w:rsidDel="00000000" w:rsidR="00000000" w:rsidRPr="00000000">
              <w:rPr>
                <w:rFonts w:ascii="Trebuchet MS" w:cs="Trebuchet MS" w:eastAsia="Trebuchet MS" w:hAnsi="Trebuchet MS"/>
                <w:rtl w:val="0"/>
              </w:rPr>
              <w:t xml:space="preserve">Revision of Section</w:t>
            </w:r>
            <w:r w:rsidDel="00000000" w:rsidR="00000000" w:rsidRPr="00000000">
              <w:rPr>
                <w:rFonts w:ascii="Trebuchet MS" w:cs="Trebuchet MS" w:eastAsia="Trebuchet MS" w:hAnsi="Trebuchet MS"/>
                <w:b w:val="1"/>
                <w:rtl w:val="0"/>
              </w:rPr>
              <w:t xml:space="preserve"> </w:t>
            </w:r>
            <w:r w:rsidDel="00000000" w:rsidR="00000000" w:rsidRPr="00000000">
              <w:rPr>
                <w:rFonts w:ascii="Trebuchet MS" w:cs="Trebuchet MS" w:eastAsia="Trebuchet MS" w:hAnsi="Trebuchet MS"/>
                <w:rtl w:val="0"/>
              </w:rPr>
              <w:t xml:space="preserve">601 Structural Concrete</w:t>
            </w:r>
          </w:p>
        </w:tc>
        <w:tc>
          <w:tcPr/>
          <w:p w:rsidR="00000000" w:rsidDel="00000000" w:rsidP="00000000" w:rsidRDefault="00000000" w:rsidRPr="00000000" w14:paraId="0000003E">
            <w:pPr>
              <w:rPr>
                <w:rFonts w:ascii="Trebuchet MS" w:cs="Trebuchet MS" w:eastAsia="Trebuchet MS" w:hAnsi="Trebuchet MS"/>
              </w:rPr>
            </w:pPr>
            <w:bookmarkStart w:colFirst="0" w:colLast="0" w:name="_ocee8us3exey" w:id="11"/>
            <w:bookmarkEnd w:id="11"/>
            <w:r w:rsidDel="00000000" w:rsidR="00000000" w:rsidRPr="00000000">
              <w:rPr>
                <w:rFonts w:ascii="Trebuchet MS" w:cs="Trebuchet MS" w:eastAsia="Trebuchet MS" w:hAnsi="Trebuchet MS"/>
                <w:rtl w:val="0"/>
              </w:rPr>
              <w:t xml:space="preserve">Clarification of when field air can be added.</w:t>
            </w:r>
          </w:p>
        </w:tc>
        <w:tc>
          <w:tcPr/>
          <w:p w:rsidR="00000000" w:rsidDel="00000000" w:rsidP="00000000" w:rsidRDefault="00000000" w:rsidRPr="00000000" w14:paraId="0000003F">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40">
            <w:pPr>
              <w:rPr>
                <w:rFonts w:ascii="Trebuchet MS" w:cs="Trebuchet MS" w:eastAsia="Trebuchet MS" w:hAnsi="Trebuchet MS"/>
              </w:rPr>
            </w:pPr>
            <w:bookmarkStart w:colFirst="0" w:colLast="0" w:name="_htbhme8zbc0t" w:id="12"/>
            <w:bookmarkEnd w:id="12"/>
            <w:r w:rsidDel="00000000" w:rsidR="00000000" w:rsidRPr="00000000">
              <w:rPr>
                <w:rFonts w:ascii="Trebuchet MS" w:cs="Trebuchet MS" w:eastAsia="Trebuchet MS" w:hAnsi="Trebuchet MS"/>
                <w:rtl w:val="0"/>
              </w:rPr>
              <w:t xml:space="preserve">All projects with Structural Concrete.</w:t>
            </w:r>
          </w:p>
        </w:tc>
      </w:tr>
    </w:tbl>
    <w:p w:rsidR="00000000" w:rsidDel="00000000" w:rsidP="00000000" w:rsidRDefault="00000000" w:rsidRPr="00000000" w14:paraId="0000004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those of you who keep a record of Standard Special Provisions, please include these provisions. For your convenience, the current SSP Index, all provisions, and their Issuance letters are attached.  You can also find these in our </w:t>
      </w:r>
      <w:hyperlink r:id="rId7">
        <w:r w:rsidDel="00000000" w:rsidR="00000000" w:rsidRPr="00000000">
          <w:rPr>
            <w:rFonts w:ascii="Trebuchet MS" w:cs="Trebuchet MS" w:eastAsia="Trebuchet MS" w:hAnsi="Trebuchet MS"/>
            <w:color w:val="467886"/>
            <w:u w:val="single"/>
            <w:rtl w:val="0"/>
          </w:rPr>
          <w:t xml:space="preserve">2025 Construction Specifications</w:t>
        </w:r>
      </w:hyperlink>
      <w:r w:rsidDel="00000000" w:rsidR="00000000" w:rsidRPr="00000000">
        <w:rPr>
          <w:rFonts w:ascii="Trebuchet MS" w:cs="Trebuchet MS" w:eastAsia="Trebuchet MS" w:hAnsi="Trebuchet MS"/>
          <w:rtl w:val="0"/>
        </w:rPr>
        <w:t xml:space="preserve"> website, and on the </w:t>
      </w:r>
      <w:hyperlink r:id="rId8">
        <w:r w:rsidDel="00000000" w:rsidR="00000000" w:rsidRPr="00000000">
          <w:rPr>
            <w:rFonts w:ascii="Trebuchet MS" w:cs="Trebuchet MS" w:eastAsia="Trebuchet MS" w:hAnsi="Trebuchet MS"/>
            <w:color w:val="467886"/>
            <w:u w:val="single"/>
            <w:rtl w:val="0"/>
          </w:rPr>
          <w:t xml:space="preserve">Recently Issued Special Provisions</w:t>
        </w:r>
      </w:hyperlink>
      <w:r w:rsidDel="00000000" w:rsidR="00000000" w:rsidRPr="00000000">
        <w:rPr>
          <w:rFonts w:ascii="Trebuchet MS" w:cs="Trebuchet MS" w:eastAsia="Trebuchet MS" w:hAnsi="Trebuchet MS"/>
          <w:rtl w:val="0"/>
        </w:rPr>
        <w:t xml:space="preserve"> webpage.</w:t>
      </w:r>
    </w:p>
    <w:p w:rsidR="00000000" w:rsidDel="00000000" w:rsidP="00000000" w:rsidRDefault="00000000" w:rsidRPr="00000000" w14:paraId="0000004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have any questions or comments, please contact this office.</w:t>
      </w:r>
    </w:p>
    <w:p w:rsidR="00000000" w:rsidDel="00000000" w:rsidP="00000000" w:rsidRDefault="00000000" w:rsidRPr="00000000" w14:paraId="0000004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E">
      <w:pPr>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5419725</wp:posOffset>
            </wp:positionH>
            <wp:positionV relativeFrom="paragraph">
              <wp:posOffset>86995</wp:posOffset>
            </wp:positionV>
            <wp:extent cx="402121" cy="404226"/>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4F">
      <w:pPr>
        <w:jc w:val="center"/>
        <w:rPr>
          <w:rFonts w:ascii="Trebuchet MS" w:cs="Trebuchet MS" w:eastAsia="Trebuchet MS" w:hAnsi="Trebuchet MS"/>
        </w:rPr>
      </w:pPr>
      <w:r w:rsidDel="00000000" w:rsidR="00000000" w:rsidRPr="00000000">
        <w:rPr>
          <w:rFonts w:ascii="Trebuchet MS" w:cs="Trebuchet MS" w:eastAsia="Trebuchet MS" w:hAnsi="Trebuchet MS"/>
          <w:color w:val="595959"/>
          <w:sz w:val="16"/>
          <w:szCs w:val="16"/>
          <w:rtl w:val="0"/>
        </w:rPr>
        <w:t xml:space="preserve">2829 W. Howard Pl., 3rd Fl.  Denver, CO 80204   P: (720) 766-0420   F: 303-757-9868   </w:t>
      </w:r>
      <w:hyperlink r:id="rId10">
        <w:r w:rsidDel="00000000" w:rsidR="00000000" w:rsidRPr="00000000">
          <w:rPr>
            <w:rFonts w:ascii="Trebuchet MS" w:cs="Trebuchet MS" w:eastAsia="Trebuchet MS" w:hAnsi="Trebuchet MS"/>
            <w:color w:val="0000ff"/>
            <w:sz w:val="16"/>
            <w:szCs w:val="16"/>
            <w:u w:val="single"/>
            <w:rtl w:val="0"/>
          </w:rPr>
          <w:t xml:space="preserve">www.codot.gov</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odot.gov/"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3-construction-specifications/recently-issued-special-provi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